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6E" w:rsidRDefault="00E0666E"/>
    <w:p w:rsidR="00E0666E" w:rsidRDefault="00E0666E">
      <w:r>
        <w:t xml:space="preserve">_____________________________________________________________________________ </w:t>
      </w:r>
    </w:p>
    <w:p w:rsidR="00E0666E" w:rsidRDefault="00E0666E"/>
    <w:tbl>
      <w:tblPr>
        <w:tblpPr w:leftFromText="180" w:rightFromText="180" w:bottomFromText="200" w:vertAnchor="text" w:horzAnchor="margin" w:tblpXSpec="center" w:tblpY="-1138"/>
        <w:tblW w:w="11100" w:type="dxa"/>
        <w:tblLayout w:type="fixed"/>
        <w:tblLook w:val="04A0"/>
      </w:tblPr>
      <w:tblGrid>
        <w:gridCol w:w="4674"/>
        <w:gridCol w:w="2106"/>
        <w:gridCol w:w="4320"/>
      </w:tblGrid>
      <w:tr w:rsidR="00E0666E" w:rsidTr="00D2160F">
        <w:trPr>
          <w:trHeight w:val="1606"/>
        </w:trPr>
        <w:tc>
          <w:tcPr>
            <w:tcW w:w="4674" w:type="dxa"/>
            <w:vAlign w:val="center"/>
          </w:tcPr>
          <w:p w:rsidR="00E0666E" w:rsidRDefault="00E0666E" w:rsidP="00E0666E">
            <w:pPr>
              <w:spacing w:line="276" w:lineRule="auto"/>
              <w:jc w:val="center"/>
              <w:rPr>
                <w:rStyle w:val="1"/>
                <w:sz w:val="22"/>
                <w:lang w:val="ba-RU"/>
              </w:rPr>
            </w:pPr>
            <w:r>
              <w:rPr>
                <w:rStyle w:val="1"/>
                <w:sz w:val="22"/>
                <w:szCs w:val="22"/>
                <w:lang w:val="ba-RU"/>
              </w:rPr>
              <w:t>Башҡортостан Республикаһы</w:t>
            </w:r>
          </w:p>
          <w:p w:rsidR="00E0666E" w:rsidRDefault="00E0666E" w:rsidP="00E0666E">
            <w:pPr>
              <w:spacing w:line="276" w:lineRule="auto"/>
              <w:jc w:val="center"/>
              <w:rPr>
                <w:rStyle w:val="1"/>
                <w:sz w:val="22"/>
                <w:lang w:val="ba-RU"/>
              </w:rPr>
            </w:pPr>
            <w:r>
              <w:rPr>
                <w:rStyle w:val="1"/>
                <w:sz w:val="22"/>
                <w:szCs w:val="22"/>
                <w:lang w:val="ba-RU"/>
              </w:rPr>
              <w:t>Ауыр</w:t>
            </w:r>
            <w:r>
              <w:rPr>
                <w:rStyle w:val="1"/>
                <w:sz w:val="22"/>
                <w:szCs w:val="22"/>
                <w:lang w:val="be-BY"/>
              </w:rPr>
              <w:t>ғ</w:t>
            </w:r>
            <w:r>
              <w:rPr>
                <w:rStyle w:val="1"/>
                <w:sz w:val="22"/>
                <w:szCs w:val="22"/>
                <w:lang w:val="ba-RU"/>
              </w:rPr>
              <w:t>азы районы муниципаль районының Т</w:t>
            </w:r>
            <w:r>
              <w:rPr>
                <w:rStyle w:val="1"/>
                <w:sz w:val="22"/>
                <w:szCs w:val="22"/>
                <w:lang w:val="be-BY"/>
              </w:rPr>
              <w:t>ө</w:t>
            </w:r>
            <w:r>
              <w:rPr>
                <w:rStyle w:val="1"/>
                <w:sz w:val="22"/>
                <w:szCs w:val="22"/>
                <w:lang w:val="ba-RU"/>
              </w:rPr>
              <w:t>р</w:t>
            </w:r>
            <w:r>
              <w:rPr>
                <w:rStyle w:val="1"/>
                <w:sz w:val="22"/>
                <w:szCs w:val="22"/>
                <w:lang w:val="be-BY"/>
              </w:rPr>
              <w:t>ө</w:t>
            </w:r>
            <w:r>
              <w:rPr>
                <w:rStyle w:val="1"/>
                <w:sz w:val="22"/>
                <w:szCs w:val="22"/>
                <w:lang w:val="ba-RU"/>
              </w:rPr>
              <w:t>мб</w:t>
            </w:r>
            <w:r>
              <w:rPr>
                <w:rStyle w:val="1"/>
                <w:sz w:val="22"/>
                <w:szCs w:val="22"/>
                <w:lang w:val="be-BY"/>
              </w:rPr>
              <w:t>ә</w:t>
            </w:r>
            <w:r>
              <w:rPr>
                <w:rStyle w:val="1"/>
                <w:sz w:val="22"/>
                <w:szCs w:val="22"/>
                <w:lang w:val="ba-RU"/>
              </w:rPr>
              <w:t>т ауыл советы ауыл бил</w:t>
            </w:r>
            <w:r>
              <w:rPr>
                <w:rStyle w:val="1"/>
                <w:sz w:val="22"/>
                <w:szCs w:val="22"/>
                <w:lang w:val="be-BY"/>
              </w:rPr>
              <w:t>ә</w:t>
            </w:r>
            <w:r>
              <w:rPr>
                <w:rStyle w:val="1"/>
                <w:sz w:val="22"/>
                <w:szCs w:val="22"/>
                <w:lang w:val="ba-RU"/>
              </w:rPr>
              <w:t>м</w:t>
            </w:r>
            <w:r>
              <w:rPr>
                <w:rStyle w:val="1"/>
                <w:sz w:val="22"/>
                <w:szCs w:val="22"/>
                <w:lang w:val="be-BY"/>
              </w:rPr>
              <w:t>ә</w:t>
            </w:r>
            <w:r>
              <w:rPr>
                <w:rStyle w:val="1"/>
                <w:sz w:val="22"/>
                <w:szCs w:val="22"/>
                <w:lang w:val="ba-RU"/>
              </w:rPr>
              <w:t>h</w:t>
            </w:r>
            <w:r>
              <w:rPr>
                <w:rStyle w:val="1"/>
                <w:sz w:val="22"/>
                <w:szCs w:val="22"/>
                <w:lang w:val="be-BY"/>
              </w:rPr>
              <w:t xml:space="preserve">е </w:t>
            </w:r>
            <w:r>
              <w:rPr>
                <w:rStyle w:val="1"/>
                <w:sz w:val="22"/>
                <w:szCs w:val="22"/>
                <w:lang w:val="ba-RU"/>
              </w:rPr>
              <w:t>Хакими</w:t>
            </w:r>
            <w:r>
              <w:rPr>
                <w:rStyle w:val="1"/>
                <w:sz w:val="22"/>
                <w:szCs w:val="22"/>
                <w:lang w:val="be-BY"/>
              </w:rPr>
              <w:t>ә</w:t>
            </w:r>
            <w:r>
              <w:rPr>
                <w:rStyle w:val="1"/>
                <w:sz w:val="22"/>
                <w:szCs w:val="22"/>
                <w:lang w:val="ba-RU"/>
              </w:rPr>
              <w:t>те</w:t>
            </w:r>
          </w:p>
          <w:p w:rsidR="00E0666E" w:rsidRPr="00E0666E" w:rsidRDefault="00E0666E" w:rsidP="00E0666E">
            <w:pPr>
              <w:spacing w:line="276" w:lineRule="auto"/>
              <w:jc w:val="center"/>
              <w:rPr>
                <w:lang w:val="ba-RU"/>
              </w:rPr>
            </w:pPr>
          </w:p>
          <w:p w:rsidR="00E0666E" w:rsidRPr="00E0666E" w:rsidRDefault="00E0666E" w:rsidP="00E0666E">
            <w:pPr>
              <w:spacing w:line="276" w:lineRule="auto"/>
              <w:jc w:val="center"/>
              <w:rPr>
                <w:rStyle w:val="1"/>
                <w:sz w:val="28"/>
                <w:lang w:val="ba-RU"/>
              </w:rPr>
            </w:pPr>
          </w:p>
        </w:tc>
        <w:tc>
          <w:tcPr>
            <w:tcW w:w="2106" w:type="dxa"/>
            <w:vAlign w:val="center"/>
            <w:hideMark/>
          </w:tcPr>
          <w:p w:rsidR="00E0666E" w:rsidRDefault="00E0666E" w:rsidP="00D2160F">
            <w:pPr>
              <w:snapToGrid w:val="0"/>
              <w:spacing w:line="276" w:lineRule="auto"/>
              <w:jc w:val="center"/>
              <w:rPr>
                <w:sz w:val="22"/>
              </w:rPr>
            </w:pPr>
            <w:r>
              <w:rPr>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8.4pt" o:ole="" fillcolor="window">
                  <v:imagedata r:id="rId5" o:title="" croptop="12118f" cropleft="12111f" cropright="6920f"/>
                </v:shape>
                <o:OLEObject Type="Embed" ProgID="Word.Picture.8" ShapeID="_x0000_i1025" DrawAspect="Content" ObjectID="_1692177421" r:id="rId6"/>
              </w:object>
            </w:r>
          </w:p>
        </w:tc>
        <w:tc>
          <w:tcPr>
            <w:tcW w:w="4320" w:type="dxa"/>
            <w:vAlign w:val="center"/>
          </w:tcPr>
          <w:p w:rsidR="00E0666E" w:rsidRDefault="00E0666E" w:rsidP="00E0666E">
            <w:pPr>
              <w:spacing w:line="276" w:lineRule="auto"/>
              <w:jc w:val="center"/>
              <w:rPr>
                <w:sz w:val="22"/>
              </w:rPr>
            </w:pPr>
            <w:r>
              <w:rPr>
                <w:sz w:val="22"/>
                <w:szCs w:val="22"/>
              </w:rPr>
              <w:t>Республика Башкортостан</w:t>
            </w:r>
          </w:p>
          <w:p w:rsidR="00E0666E" w:rsidRDefault="00E0666E" w:rsidP="00E0666E">
            <w:pPr>
              <w:spacing w:line="276" w:lineRule="auto"/>
              <w:jc w:val="center"/>
              <w:rPr>
                <w:sz w:val="22"/>
              </w:rPr>
            </w:pPr>
            <w:r>
              <w:rPr>
                <w:sz w:val="22"/>
                <w:szCs w:val="22"/>
              </w:rPr>
              <w:t xml:space="preserve">Администрация сельского поселения Турумбетовский сельсовет муниципального района </w:t>
            </w:r>
            <w:proofErr w:type="spellStart"/>
            <w:r>
              <w:rPr>
                <w:sz w:val="22"/>
                <w:szCs w:val="22"/>
              </w:rPr>
              <w:t>Аургазинский</w:t>
            </w:r>
            <w:proofErr w:type="spellEnd"/>
            <w:r>
              <w:rPr>
                <w:sz w:val="22"/>
                <w:szCs w:val="22"/>
              </w:rPr>
              <w:t xml:space="preserve"> район</w:t>
            </w:r>
          </w:p>
          <w:p w:rsidR="00E0666E" w:rsidRDefault="00E0666E" w:rsidP="00D2160F">
            <w:pPr>
              <w:spacing w:line="276" w:lineRule="auto"/>
              <w:jc w:val="center"/>
              <w:rPr>
                <w:sz w:val="22"/>
              </w:rPr>
            </w:pPr>
          </w:p>
        </w:tc>
      </w:tr>
    </w:tbl>
    <w:p w:rsidR="005D5F3B" w:rsidRPr="001E2398" w:rsidRDefault="005D5F3B" w:rsidP="005D5F3B">
      <w:pPr>
        <w:rPr>
          <w:vanish/>
        </w:rPr>
      </w:pPr>
    </w:p>
    <w:p w:rsidR="005D5F3B" w:rsidRPr="007924E3" w:rsidRDefault="00500444" w:rsidP="00E0666E">
      <w:pPr>
        <w:pStyle w:val="a7"/>
        <w:jc w:val="center"/>
        <w:rPr>
          <w:b/>
          <w:sz w:val="28"/>
          <w:szCs w:val="28"/>
          <w:lang w:val="be-BY"/>
        </w:rPr>
      </w:pPr>
      <w:r>
        <w:rPr>
          <w:b/>
          <w:sz w:val="28"/>
          <w:szCs w:val="28"/>
          <w:lang w:val="ba-RU"/>
        </w:rPr>
        <w:t xml:space="preserve">ҠАРАР                                                          </w:t>
      </w:r>
      <w:r w:rsidR="005D5F3B">
        <w:rPr>
          <w:b/>
          <w:sz w:val="28"/>
          <w:szCs w:val="28"/>
          <w:lang w:val="be-BY"/>
        </w:rPr>
        <w:t xml:space="preserve">  </w:t>
      </w:r>
      <w:r w:rsidR="005D5F3B" w:rsidRPr="007924E3">
        <w:rPr>
          <w:b/>
          <w:sz w:val="28"/>
          <w:szCs w:val="28"/>
          <w:lang w:val="be-BY"/>
        </w:rPr>
        <w:t>ПОСТАНОВЛЕНИЕ</w:t>
      </w:r>
    </w:p>
    <w:p w:rsidR="005D5F3B" w:rsidRPr="007924E3" w:rsidRDefault="005D5F3B" w:rsidP="005D5F3B">
      <w:pPr>
        <w:pStyle w:val="a7"/>
        <w:tabs>
          <w:tab w:val="left" w:pos="5355"/>
        </w:tabs>
        <w:rPr>
          <w:sz w:val="28"/>
          <w:szCs w:val="28"/>
          <w:lang w:val="be-BY"/>
        </w:rPr>
      </w:pPr>
      <w:r w:rsidRPr="007924E3">
        <w:rPr>
          <w:sz w:val="28"/>
          <w:szCs w:val="28"/>
          <w:lang w:val="be-BY"/>
        </w:rPr>
        <w:t xml:space="preserve">   </w:t>
      </w:r>
    </w:p>
    <w:p w:rsidR="00454605" w:rsidRDefault="00454605" w:rsidP="00FE528D">
      <w:pPr>
        <w:pStyle w:val="ConsPlusTitle"/>
        <w:rPr>
          <w:rFonts w:ascii="Times New Roman" w:hAnsi="Times New Roman" w:cs="Times New Roman"/>
          <w:b w:val="0"/>
          <w:sz w:val="28"/>
          <w:szCs w:val="28"/>
        </w:rPr>
      </w:pPr>
    </w:p>
    <w:p w:rsidR="00454605" w:rsidRPr="003E5993" w:rsidRDefault="00454605" w:rsidP="002F6090">
      <w:pPr>
        <w:jc w:val="center"/>
        <w:rPr>
          <w:rFonts w:ascii="Times Cyr Bash Normal" w:hAnsi="Times Cyr Bash Normal"/>
          <w:sz w:val="8"/>
          <w:szCs w:val="8"/>
        </w:rPr>
      </w:pPr>
    </w:p>
    <w:tbl>
      <w:tblPr>
        <w:tblW w:w="10926" w:type="dxa"/>
        <w:tblInd w:w="-613" w:type="dxa"/>
        <w:tblLayout w:type="fixed"/>
        <w:tblCellMar>
          <w:left w:w="107" w:type="dxa"/>
          <w:right w:w="107" w:type="dxa"/>
        </w:tblCellMar>
        <w:tblLook w:val="0000"/>
      </w:tblPr>
      <w:tblGrid>
        <w:gridCol w:w="4680"/>
        <w:gridCol w:w="1440"/>
        <w:gridCol w:w="4806"/>
      </w:tblGrid>
      <w:tr w:rsidR="00454605" w:rsidRPr="003E5993" w:rsidTr="00512BE0">
        <w:tc>
          <w:tcPr>
            <w:tcW w:w="4680" w:type="dxa"/>
          </w:tcPr>
          <w:p w:rsidR="00454605" w:rsidRPr="003E5993" w:rsidRDefault="00454605" w:rsidP="00E0666E">
            <w:pPr>
              <w:jc w:val="center"/>
              <w:rPr>
                <w:sz w:val="28"/>
                <w:szCs w:val="28"/>
              </w:rPr>
            </w:pPr>
            <w:r w:rsidRPr="003E5993">
              <w:rPr>
                <w:sz w:val="28"/>
                <w:szCs w:val="28"/>
              </w:rPr>
              <w:t>«</w:t>
            </w:r>
            <w:r w:rsidR="00500444">
              <w:rPr>
                <w:sz w:val="28"/>
                <w:szCs w:val="28"/>
              </w:rPr>
              <w:t>3</w:t>
            </w:r>
            <w:r w:rsidRPr="003E5993">
              <w:rPr>
                <w:sz w:val="28"/>
                <w:szCs w:val="28"/>
              </w:rPr>
              <w:t>»</w:t>
            </w:r>
            <w:r>
              <w:rPr>
                <w:sz w:val="28"/>
                <w:szCs w:val="28"/>
              </w:rPr>
              <w:t xml:space="preserve"> </w:t>
            </w:r>
            <w:r w:rsidR="00E0666E">
              <w:rPr>
                <w:sz w:val="28"/>
                <w:szCs w:val="28"/>
              </w:rPr>
              <w:t>сентябрь</w:t>
            </w:r>
            <w:r w:rsidRPr="003E5993">
              <w:rPr>
                <w:sz w:val="28"/>
                <w:szCs w:val="28"/>
              </w:rPr>
              <w:t xml:space="preserve"> 20</w:t>
            </w:r>
            <w:r w:rsidR="00E0666E">
              <w:rPr>
                <w:sz w:val="28"/>
                <w:szCs w:val="28"/>
              </w:rPr>
              <w:t>2</w:t>
            </w:r>
            <w:r w:rsidRPr="003E5993">
              <w:rPr>
                <w:sz w:val="28"/>
                <w:szCs w:val="28"/>
              </w:rPr>
              <w:t xml:space="preserve">1 </w:t>
            </w:r>
            <w:proofErr w:type="spellStart"/>
            <w:r w:rsidRPr="003E5993">
              <w:rPr>
                <w:sz w:val="28"/>
                <w:szCs w:val="28"/>
              </w:rPr>
              <w:t>й</w:t>
            </w:r>
            <w:proofErr w:type="spellEnd"/>
            <w:r w:rsidRPr="003E5993">
              <w:rPr>
                <w:sz w:val="28"/>
                <w:szCs w:val="28"/>
              </w:rPr>
              <w:t>.</w:t>
            </w:r>
          </w:p>
        </w:tc>
        <w:tc>
          <w:tcPr>
            <w:tcW w:w="1440" w:type="dxa"/>
          </w:tcPr>
          <w:p w:rsidR="00454605" w:rsidRPr="003E5993" w:rsidRDefault="00454605" w:rsidP="00E0666E">
            <w:pPr>
              <w:jc w:val="center"/>
              <w:rPr>
                <w:sz w:val="28"/>
                <w:szCs w:val="28"/>
              </w:rPr>
            </w:pPr>
            <w:r w:rsidRPr="003E5993">
              <w:rPr>
                <w:sz w:val="28"/>
                <w:szCs w:val="28"/>
              </w:rPr>
              <w:t>№</w:t>
            </w:r>
            <w:r w:rsidR="00500444">
              <w:rPr>
                <w:sz w:val="28"/>
                <w:szCs w:val="28"/>
              </w:rPr>
              <w:t xml:space="preserve"> </w:t>
            </w:r>
            <w:r w:rsidR="00E0666E">
              <w:rPr>
                <w:sz w:val="28"/>
                <w:szCs w:val="28"/>
              </w:rPr>
              <w:t>36</w:t>
            </w:r>
          </w:p>
        </w:tc>
        <w:tc>
          <w:tcPr>
            <w:tcW w:w="4806" w:type="dxa"/>
          </w:tcPr>
          <w:p w:rsidR="00454605" w:rsidRPr="003E5993" w:rsidRDefault="00454605" w:rsidP="00E0666E">
            <w:pPr>
              <w:jc w:val="center"/>
              <w:rPr>
                <w:sz w:val="28"/>
                <w:szCs w:val="28"/>
              </w:rPr>
            </w:pPr>
            <w:r>
              <w:rPr>
                <w:sz w:val="28"/>
                <w:szCs w:val="28"/>
              </w:rPr>
              <w:t>«</w:t>
            </w:r>
            <w:r w:rsidR="00500444">
              <w:rPr>
                <w:sz w:val="28"/>
                <w:szCs w:val="28"/>
              </w:rPr>
              <w:t>3</w:t>
            </w:r>
            <w:r w:rsidRPr="003E5993">
              <w:rPr>
                <w:sz w:val="28"/>
                <w:szCs w:val="28"/>
              </w:rPr>
              <w:t>»</w:t>
            </w:r>
            <w:r>
              <w:rPr>
                <w:sz w:val="28"/>
                <w:szCs w:val="28"/>
              </w:rPr>
              <w:t xml:space="preserve"> </w:t>
            </w:r>
            <w:r w:rsidR="00E0666E">
              <w:rPr>
                <w:sz w:val="28"/>
                <w:szCs w:val="28"/>
              </w:rPr>
              <w:t>сентября</w:t>
            </w:r>
            <w:r w:rsidRPr="00500444">
              <w:rPr>
                <w:sz w:val="28"/>
                <w:szCs w:val="28"/>
              </w:rPr>
              <w:t xml:space="preserve">  </w:t>
            </w:r>
            <w:r w:rsidRPr="003E5993">
              <w:rPr>
                <w:sz w:val="28"/>
                <w:szCs w:val="28"/>
              </w:rPr>
              <w:t>20</w:t>
            </w:r>
            <w:r w:rsidR="00E0666E">
              <w:rPr>
                <w:sz w:val="28"/>
                <w:szCs w:val="28"/>
              </w:rPr>
              <w:t>2</w:t>
            </w:r>
            <w:r w:rsidRPr="003E5993">
              <w:rPr>
                <w:sz w:val="28"/>
                <w:szCs w:val="28"/>
              </w:rPr>
              <w:t>1 г.</w:t>
            </w:r>
          </w:p>
        </w:tc>
      </w:tr>
    </w:tbl>
    <w:p w:rsidR="00454605"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5D5F3B" w:rsidRPr="00500444">
        <w:rPr>
          <w:b/>
          <w:sz w:val="28"/>
          <w:szCs w:val="28"/>
        </w:rPr>
        <w:t>Турумбетовский</w:t>
      </w:r>
      <w:r w:rsidRPr="00ED355F">
        <w:rPr>
          <w:b/>
          <w:sz w:val="28"/>
          <w:szCs w:val="28"/>
        </w:rPr>
        <w:t xml:space="preserve"> сельсовет муниципального района </w:t>
      </w:r>
      <w:proofErr w:type="spellStart"/>
      <w:r w:rsidR="00E4492F" w:rsidRPr="00500444">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D5F3B" w:rsidRPr="00500444">
        <w:rPr>
          <w:b/>
          <w:sz w:val="28"/>
          <w:szCs w:val="28"/>
        </w:rPr>
        <w:t>Турумбетовский</w:t>
      </w:r>
      <w:r w:rsidRPr="00ED355F">
        <w:rPr>
          <w:b/>
          <w:sz w:val="28"/>
          <w:szCs w:val="28"/>
        </w:rPr>
        <w:t xml:space="preserve"> сельсовет муниципального района </w:t>
      </w:r>
      <w:proofErr w:type="spellStart"/>
      <w:r w:rsidR="00E4492F" w:rsidRPr="00500444">
        <w:rPr>
          <w:b/>
          <w:sz w:val="28"/>
          <w:szCs w:val="28"/>
        </w:rPr>
        <w:t>Аургазинский</w:t>
      </w:r>
      <w:proofErr w:type="spellEnd"/>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62163E" w:rsidRDefault="00454605" w:rsidP="00ED355F">
      <w:pPr>
        <w:autoSpaceDE w:val="0"/>
        <w:autoSpaceDN w:val="0"/>
        <w:adjustRightInd w:val="0"/>
        <w:rPr>
          <w:sz w:val="28"/>
          <w:szCs w:val="28"/>
        </w:rPr>
      </w:pPr>
    </w:p>
    <w:p w:rsidR="00454605" w:rsidRPr="00592EF1" w:rsidRDefault="00454605" w:rsidP="0014281F">
      <w:pPr>
        <w:jc w:val="both"/>
        <w:rPr>
          <w:sz w:val="28"/>
          <w:szCs w:val="28"/>
        </w:rPr>
      </w:pPr>
      <w:proofErr w:type="gramStart"/>
      <w:r w:rsidRPr="00592EF1">
        <w:rPr>
          <w:sz w:val="28"/>
          <w:szCs w:val="28"/>
        </w:rPr>
        <w:t xml:space="preserve">В соответствии со </w:t>
      </w:r>
      <w:hyperlink r:id="rId7" w:history="1">
        <w:r w:rsidRPr="00592EF1">
          <w:rPr>
            <w:sz w:val="28"/>
            <w:szCs w:val="28"/>
          </w:rPr>
          <w:t>статьей 215.1</w:t>
        </w:r>
      </w:hyperlink>
      <w:r w:rsidRPr="00592EF1">
        <w:rPr>
          <w:sz w:val="28"/>
          <w:szCs w:val="28"/>
        </w:rPr>
        <w:t xml:space="preserve"> Бюджетного кодекса Российской Федерации, </w:t>
      </w:r>
      <w:hyperlink r:id="rId8"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5D5F3B">
        <w:rPr>
          <w:sz w:val="28"/>
          <w:szCs w:val="28"/>
        </w:rPr>
        <w:t>Турумбетовский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0014281F">
        <w:rPr>
          <w:sz w:val="28"/>
          <w:szCs w:val="28"/>
        </w:rPr>
        <w:t>№ 237 от 20 мая 2014 года</w:t>
      </w:r>
      <w:r w:rsidR="0014281F" w:rsidRPr="008A5026">
        <w:rPr>
          <w:b/>
          <w:sz w:val="28"/>
          <w:szCs w:val="28"/>
        </w:rPr>
        <w:t xml:space="preserve"> </w:t>
      </w:r>
      <w:r w:rsidRPr="00592EF1">
        <w:rPr>
          <w:sz w:val="28"/>
          <w:szCs w:val="28"/>
        </w:rPr>
        <w:t xml:space="preserve"> «О бюджетном процессе в сельском поселении </w:t>
      </w:r>
      <w:r w:rsidR="005D5F3B">
        <w:rPr>
          <w:sz w:val="28"/>
          <w:szCs w:val="28"/>
        </w:rPr>
        <w:t>Турумбетовский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w:t>
      </w:r>
      <w:proofErr w:type="gramEnd"/>
      <w:r w:rsidRPr="00592EF1">
        <w:rPr>
          <w:sz w:val="28"/>
          <w:szCs w:val="28"/>
        </w:rPr>
        <w:t xml:space="preserve"> дополнениями) приказываю:</w:t>
      </w:r>
    </w:p>
    <w:p w:rsidR="00454605" w:rsidRDefault="002777D4" w:rsidP="002777D4">
      <w:pPr>
        <w:autoSpaceDE w:val="0"/>
        <w:autoSpaceDN w:val="0"/>
        <w:adjustRightInd w:val="0"/>
        <w:jc w:val="both"/>
        <w:rPr>
          <w:sz w:val="28"/>
          <w:szCs w:val="28"/>
        </w:rPr>
      </w:pPr>
      <w:r>
        <w:rPr>
          <w:sz w:val="28"/>
          <w:szCs w:val="28"/>
        </w:rPr>
        <w:t>1.</w:t>
      </w:r>
      <w:r w:rsidR="00454605" w:rsidRPr="00592EF1">
        <w:rPr>
          <w:sz w:val="28"/>
          <w:szCs w:val="28"/>
        </w:rPr>
        <w:t xml:space="preserve">Утвердить прилагаемый </w:t>
      </w:r>
      <w:hyperlink r:id="rId9" w:history="1">
        <w:r w:rsidR="00454605" w:rsidRPr="00592EF1">
          <w:rPr>
            <w:sz w:val="28"/>
            <w:szCs w:val="28"/>
          </w:rPr>
          <w:t>Порядок</w:t>
        </w:r>
      </w:hyperlink>
      <w:r w:rsidR="00454605" w:rsidRPr="00592EF1">
        <w:rPr>
          <w:sz w:val="28"/>
          <w:szCs w:val="28"/>
        </w:rPr>
        <w:t xml:space="preserve"> кассового</w:t>
      </w:r>
      <w:r w:rsidR="00454605" w:rsidRPr="0062163E">
        <w:rPr>
          <w:sz w:val="28"/>
          <w:szCs w:val="28"/>
        </w:rPr>
        <w:t xml:space="preserve"> обслуживания бюджета </w:t>
      </w:r>
      <w:r w:rsidR="00454605">
        <w:rPr>
          <w:sz w:val="28"/>
          <w:szCs w:val="28"/>
        </w:rPr>
        <w:t xml:space="preserve">поселения </w:t>
      </w:r>
      <w:r w:rsidR="005D5F3B">
        <w:rPr>
          <w:sz w:val="28"/>
          <w:szCs w:val="28"/>
        </w:rPr>
        <w:t>Турумбетовский</w:t>
      </w:r>
      <w:r w:rsidR="00454605">
        <w:rPr>
          <w:sz w:val="28"/>
          <w:szCs w:val="28"/>
        </w:rPr>
        <w:t xml:space="preserve"> сельсовет </w:t>
      </w:r>
      <w:r w:rsidR="00454605" w:rsidRPr="0062163E">
        <w:rPr>
          <w:sz w:val="28"/>
          <w:szCs w:val="28"/>
        </w:rPr>
        <w:t>му</w:t>
      </w:r>
      <w:r w:rsidR="00454605">
        <w:rPr>
          <w:sz w:val="28"/>
          <w:szCs w:val="28"/>
        </w:rPr>
        <w:t xml:space="preserve">ниципального района </w:t>
      </w:r>
      <w:proofErr w:type="spellStart"/>
      <w:r w:rsidR="00E4492F">
        <w:rPr>
          <w:sz w:val="28"/>
          <w:szCs w:val="28"/>
        </w:rPr>
        <w:t>Аургазинский</w:t>
      </w:r>
      <w:proofErr w:type="spellEnd"/>
      <w:r w:rsidR="00454605"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sidR="00454605">
        <w:rPr>
          <w:sz w:val="28"/>
          <w:szCs w:val="28"/>
        </w:rPr>
        <w:t>а</w:t>
      </w:r>
      <w:r w:rsidR="00454605" w:rsidRPr="009249FF">
        <w:rPr>
          <w:sz w:val="28"/>
          <w:szCs w:val="28"/>
        </w:rPr>
        <w:t xml:space="preserve"> </w:t>
      </w:r>
      <w:r w:rsidR="00454605">
        <w:rPr>
          <w:sz w:val="28"/>
          <w:szCs w:val="28"/>
        </w:rPr>
        <w:t xml:space="preserve">сельского поселения </w:t>
      </w:r>
      <w:r w:rsidR="005D5F3B">
        <w:rPr>
          <w:sz w:val="28"/>
          <w:szCs w:val="28"/>
        </w:rPr>
        <w:t>Турумбетовский</w:t>
      </w:r>
      <w:r w:rsidR="00454605">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sidR="00454605">
        <w:rPr>
          <w:sz w:val="28"/>
          <w:szCs w:val="28"/>
        </w:rPr>
        <w:t>район Республики Башкортостан согласно приложению.</w:t>
      </w:r>
    </w:p>
    <w:p w:rsidR="002777D4" w:rsidRDefault="002777D4" w:rsidP="002777D4">
      <w:pPr>
        <w:autoSpaceDE w:val="0"/>
        <w:autoSpaceDN w:val="0"/>
        <w:adjustRightInd w:val="0"/>
        <w:jc w:val="both"/>
        <w:rPr>
          <w:sz w:val="28"/>
          <w:szCs w:val="28"/>
        </w:rPr>
      </w:pPr>
      <w:r>
        <w:rPr>
          <w:sz w:val="28"/>
          <w:szCs w:val="28"/>
        </w:rPr>
        <w:t>2.Признать утратившим силу постановление №</w:t>
      </w:r>
      <w:r w:rsidR="00E0666E">
        <w:rPr>
          <w:sz w:val="28"/>
          <w:szCs w:val="28"/>
        </w:rPr>
        <w:t>51</w:t>
      </w:r>
      <w:r>
        <w:rPr>
          <w:sz w:val="28"/>
          <w:szCs w:val="28"/>
        </w:rPr>
        <w:t xml:space="preserve"> от 2</w:t>
      </w:r>
      <w:r w:rsidR="00E0666E">
        <w:rPr>
          <w:sz w:val="28"/>
          <w:szCs w:val="28"/>
        </w:rPr>
        <w:t>3</w:t>
      </w:r>
      <w:r>
        <w:rPr>
          <w:sz w:val="28"/>
          <w:szCs w:val="28"/>
        </w:rPr>
        <w:t>.12.20</w:t>
      </w:r>
      <w:r w:rsidR="00E0666E">
        <w:rPr>
          <w:sz w:val="28"/>
          <w:szCs w:val="28"/>
        </w:rPr>
        <w:t>19</w:t>
      </w:r>
      <w:r>
        <w:rPr>
          <w:sz w:val="28"/>
          <w:szCs w:val="28"/>
        </w:rPr>
        <w:t xml:space="preserve"> г.</w:t>
      </w:r>
    </w:p>
    <w:p w:rsidR="00454605" w:rsidRPr="00166E30" w:rsidRDefault="002777D4" w:rsidP="002777D4">
      <w:pPr>
        <w:autoSpaceDE w:val="0"/>
        <w:autoSpaceDN w:val="0"/>
        <w:adjustRightInd w:val="0"/>
        <w:jc w:val="both"/>
        <w:rPr>
          <w:sz w:val="28"/>
          <w:szCs w:val="28"/>
        </w:rPr>
      </w:pPr>
      <w:r>
        <w:t xml:space="preserve">3. </w:t>
      </w:r>
      <w:proofErr w:type="gramStart"/>
      <w:r w:rsidR="00454605" w:rsidRPr="00166E30">
        <w:rPr>
          <w:sz w:val="28"/>
          <w:szCs w:val="28"/>
        </w:rPr>
        <w:t>Контроль за</w:t>
      </w:r>
      <w:proofErr w:type="gramEnd"/>
      <w:r w:rsidR="00454605" w:rsidRPr="00166E30">
        <w:rPr>
          <w:sz w:val="28"/>
          <w:szCs w:val="28"/>
        </w:rPr>
        <w:t xml:space="preserve"> исполнением настоящего </w:t>
      </w:r>
      <w:r w:rsidR="0014281F">
        <w:rPr>
          <w:sz w:val="28"/>
          <w:szCs w:val="28"/>
        </w:rPr>
        <w:t>постановления</w:t>
      </w:r>
      <w:r w:rsidR="00454605">
        <w:rPr>
          <w:sz w:val="28"/>
          <w:szCs w:val="28"/>
        </w:rPr>
        <w:t xml:space="preserve">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tabs>
          <w:tab w:val="left" w:pos="6660"/>
        </w:tabs>
        <w:jc w:val="both"/>
        <w:rPr>
          <w:sz w:val="28"/>
          <w:szCs w:val="28"/>
        </w:rPr>
      </w:pPr>
      <w:r>
        <w:rPr>
          <w:sz w:val="28"/>
          <w:szCs w:val="28"/>
        </w:rPr>
        <w:t xml:space="preserve">Глава  сельского поселения:                                                 </w:t>
      </w:r>
      <w:r w:rsidR="00E0666E">
        <w:rPr>
          <w:sz w:val="28"/>
          <w:szCs w:val="28"/>
        </w:rPr>
        <w:t xml:space="preserve">     </w:t>
      </w:r>
      <w:r w:rsidR="0014281F">
        <w:rPr>
          <w:sz w:val="28"/>
          <w:szCs w:val="28"/>
        </w:rPr>
        <w:t xml:space="preserve">Ю.М. </w:t>
      </w:r>
      <w:proofErr w:type="spellStart"/>
      <w:r w:rsidR="0014281F">
        <w:rPr>
          <w:sz w:val="28"/>
          <w:szCs w:val="28"/>
        </w:rPr>
        <w:t>Кутлуюлов</w:t>
      </w:r>
      <w:proofErr w:type="spellEnd"/>
      <w:r>
        <w:rPr>
          <w:sz w:val="28"/>
          <w:szCs w:val="28"/>
        </w:rPr>
        <w:tab/>
        <w:t xml:space="preserve">   </w:t>
      </w:r>
    </w:p>
    <w:p w:rsidR="002777D4" w:rsidRDefault="002777D4" w:rsidP="00ED355F">
      <w:pPr>
        <w:tabs>
          <w:tab w:val="left" w:pos="6660"/>
        </w:tabs>
        <w:jc w:val="both"/>
        <w:rPr>
          <w:sz w:val="28"/>
          <w:szCs w:val="28"/>
        </w:rPr>
      </w:pPr>
    </w:p>
    <w:p w:rsidR="002777D4" w:rsidRDefault="002777D4" w:rsidP="00ED355F">
      <w:pPr>
        <w:tabs>
          <w:tab w:val="left" w:pos="6660"/>
        </w:tabs>
        <w:jc w:val="both"/>
        <w:rPr>
          <w:sz w:val="28"/>
          <w:szCs w:val="28"/>
        </w:rPr>
      </w:pPr>
    </w:p>
    <w:p w:rsidR="00454605" w:rsidRPr="002777D4" w:rsidRDefault="002777D4" w:rsidP="002777D4">
      <w:pPr>
        <w:tabs>
          <w:tab w:val="left" w:pos="6660"/>
        </w:tabs>
        <w:rPr>
          <w:sz w:val="22"/>
          <w:szCs w:val="22"/>
        </w:rPr>
      </w:pPr>
      <w:r>
        <w:rPr>
          <w:sz w:val="22"/>
          <w:szCs w:val="22"/>
        </w:rPr>
        <w:t>Рахматуллина Ф.Н. 8</w:t>
      </w:r>
      <w:r w:rsidRPr="002777D4">
        <w:rPr>
          <w:sz w:val="22"/>
          <w:szCs w:val="22"/>
        </w:rPr>
        <w:t>(34745</w:t>
      </w:r>
      <w:r>
        <w:rPr>
          <w:sz w:val="22"/>
          <w:szCs w:val="22"/>
        </w:rPr>
        <w:t>)</w:t>
      </w:r>
      <w:r w:rsidRPr="002777D4">
        <w:rPr>
          <w:sz w:val="22"/>
          <w:szCs w:val="22"/>
        </w:rPr>
        <w:t>2</w:t>
      </w:r>
      <w:r>
        <w:rPr>
          <w:sz w:val="22"/>
          <w:szCs w:val="22"/>
        </w:rPr>
        <w:t>-</w:t>
      </w:r>
      <w:r w:rsidRPr="002777D4">
        <w:rPr>
          <w:sz w:val="22"/>
          <w:szCs w:val="22"/>
        </w:rPr>
        <w:t>59</w:t>
      </w:r>
      <w:r>
        <w:rPr>
          <w:sz w:val="22"/>
          <w:szCs w:val="22"/>
        </w:rPr>
        <w:t>-</w:t>
      </w:r>
      <w:r w:rsidRPr="002777D4">
        <w:rPr>
          <w:sz w:val="22"/>
          <w:szCs w:val="22"/>
        </w:rPr>
        <w:t>31</w:t>
      </w:r>
      <w:r w:rsidR="00454605" w:rsidRPr="002777D4">
        <w:rPr>
          <w:sz w:val="22"/>
          <w:szCs w:val="22"/>
        </w:rPr>
        <w:br w:type="page"/>
      </w:r>
    </w:p>
    <w:tbl>
      <w:tblPr>
        <w:tblW w:w="0" w:type="auto"/>
        <w:tblInd w:w="-252" w:type="dxa"/>
        <w:tblLook w:val="01E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1420E7">
              <w:rPr>
                <w:sz w:val="22"/>
                <w:szCs w:val="22"/>
              </w:rPr>
              <w:t>постановлением</w:t>
            </w:r>
            <w:r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5D5F3B">
              <w:rPr>
                <w:sz w:val="22"/>
                <w:szCs w:val="22"/>
              </w:rPr>
              <w:t>Турумбетовский</w:t>
            </w:r>
            <w:r w:rsidRPr="00746878">
              <w:rPr>
                <w:sz w:val="22"/>
                <w:szCs w:val="22"/>
              </w:rPr>
              <w:t xml:space="preserve"> сельсовет муниципального района </w:t>
            </w:r>
            <w:proofErr w:type="spellStart"/>
            <w:r w:rsidR="00E4492F" w:rsidRPr="0014281F">
              <w:t>Аургазинский</w:t>
            </w:r>
            <w:proofErr w:type="spellEnd"/>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E0666E">
            <w:pPr>
              <w:autoSpaceDE w:val="0"/>
              <w:autoSpaceDN w:val="0"/>
              <w:adjustRightInd w:val="0"/>
              <w:rPr>
                <w:sz w:val="28"/>
                <w:szCs w:val="28"/>
                <w:highlight w:val="yellow"/>
              </w:rPr>
            </w:pPr>
            <w:r w:rsidRPr="00746878">
              <w:rPr>
                <w:sz w:val="22"/>
                <w:szCs w:val="22"/>
              </w:rPr>
              <w:t>от «</w:t>
            </w:r>
            <w:r w:rsidR="00E0666E">
              <w:rPr>
                <w:sz w:val="22"/>
                <w:szCs w:val="22"/>
              </w:rPr>
              <w:t>0</w:t>
            </w:r>
            <w:r w:rsidR="0014281F">
              <w:rPr>
                <w:sz w:val="22"/>
                <w:szCs w:val="22"/>
              </w:rPr>
              <w:t>2</w:t>
            </w:r>
            <w:r w:rsidRPr="00746878">
              <w:rPr>
                <w:sz w:val="22"/>
                <w:szCs w:val="22"/>
              </w:rPr>
              <w:t>»</w:t>
            </w:r>
            <w:r>
              <w:rPr>
                <w:sz w:val="22"/>
                <w:szCs w:val="22"/>
              </w:rPr>
              <w:t xml:space="preserve"> </w:t>
            </w:r>
            <w:r w:rsidR="00E0666E">
              <w:rPr>
                <w:sz w:val="22"/>
                <w:szCs w:val="22"/>
              </w:rPr>
              <w:t>сентября</w:t>
            </w:r>
            <w:r>
              <w:rPr>
                <w:sz w:val="22"/>
                <w:szCs w:val="22"/>
              </w:rPr>
              <w:t xml:space="preserve"> </w:t>
            </w:r>
            <w:r w:rsidRPr="00746878">
              <w:rPr>
                <w:sz w:val="22"/>
                <w:szCs w:val="22"/>
              </w:rPr>
              <w:t xml:space="preserve"> 20</w:t>
            </w:r>
            <w:r w:rsidR="00E0666E">
              <w:rPr>
                <w:sz w:val="22"/>
                <w:szCs w:val="22"/>
              </w:rPr>
              <w:t>2</w:t>
            </w:r>
            <w:r w:rsidRPr="00746878">
              <w:rPr>
                <w:sz w:val="22"/>
                <w:szCs w:val="22"/>
              </w:rPr>
              <w:t xml:space="preserve">1 г. № </w:t>
            </w:r>
            <w:r w:rsidR="00E0666E">
              <w:rPr>
                <w:sz w:val="22"/>
                <w:szCs w:val="22"/>
              </w:rPr>
              <w:t>36</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r w:rsidR="005D5F3B">
        <w:rPr>
          <w:b/>
          <w:bCs/>
        </w:rPr>
        <w:t>Турумбетовский</w:t>
      </w:r>
      <w:r w:rsidRPr="00592EF1">
        <w:rPr>
          <w:b/>
          <w:bCs/>
        </w:rPr>
        <w:t xml:space="preserve"> сельсовет муниципального района </w:t>
      </w:r>
      <w:proofErr w:type="spellStart"/>
      <w:r w:rsidR="00E4492F" w:rsidRPr="0014281F">
        <w:rPr>
          <w:b/>
        </w:rPr>
        <w:t>Аургазинский</w:t>
      </w:r>
      <w:proofErr w:type="spellEnd"/>
      <w:r w:rsidRPr="0014281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D5F3B">
        <w:rPr>
          <w:b/>
          <w:bCs/>
        </w:rPr>
        <w:t>Турумбетовский</w:t>
      </w:r>
      <w:r w:rsidRPr="00592EF1">
        <w:rPr>
          <w:b/>
          <w:bCs/>
        </w:rPr>
        <w:t xml:space="preserve"> сельсовет муниципального района</w:t>
      </w:r>
      <w:r w:rsidR="00E4492F" w:rsidRPr="00E4492F">
        <w:rPr>
          <w:sz w:val="28"/>
          <w:szCs w:val="28"/>
        </w:rPr>
        <w:t xml:space="preserve"> </w:t>
      </w:r>
      <w:proofErr w:type="spellStart"/>
      <w:r w:rsidR="00E4492F" w:rsidRPr="0014281F">
        <w:rPr>
          <w:b/>
        </w:rPr>
        <w:t>Аургазинский</w:t>
      </w:r>
      <w:proofErr w:type="spellEnd"/>
      <w:r w:rsidR="00E4492F" w:rsidRPr="00592EF1">
        <w:rPr>
          <w:b/>
          <w:bCs/>
        </w:rPr>
        <w:t xml:space="preserve"> </w:t>
      </w:r>
      <w:r w:rsidR="001420E7">
        <w:rPr>
          <w:b/>
          <w:bCs/>
        </w:rPr>
        <w:t>район Республики</w:t>
      </w:r>
      <w:bookmarkStart w:id="0" w:name="_GoBack"/>
      <w:bookmarkEnd w:id="0"/>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b w:val="0"/>
          <w:i w:val="0"/>
          <w:kern w:val="28"/>
          <w:sz w:val="24"/>
          <w:szCs w:val="24"/>
        </w:rPr>
      </w:pPr>
      <w:bookmarkStart w:id="1" w:name="_Toc205115795"/>
      <w:r w:rsidRPr="00E77C4B">
        <w:rPr>
          <w:rFonts w:ascii="Times New Roman" w:hAnsi="Times New Roman"/>
          <w:b w:val="0"/>
          <w:i w:val="0"/>
          <w:kern w:val="28"/>
          <w:sz w:val="24"/>
          <w:szCs w:val="24"/>
        </w:rPr>
        <w:t>Общие положени</w:t>
      </w:r>
      <w:bookmarkEnd w:id="1"/>
      <w:r w:rsidRPr="00E77C4B">
        <w:rPr>
          <w:rFonts w:ascii="Times New Roman" w:hAnsi="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r w:rsidR="005D5F3B" w:rsidRPr="0014281F">
        <w:t>Турумбетовский</w:t>
      </w:r>
      <w:r w:rsidRPr="00E77C4B">
        <w:rPr>
          <w:bCs/>
        </w:rPr>
        <w:t xml:space="preserve"> сельсовет муниципального района </w:t>
      </w:r>
      <w:proofErr w:type="spellStart"/>
      <w:r w:rsidR="00E4492F" w:rsidRPr="0014281F">
        <w:t>Аургазинский</w:t>
      </w:r>
      <w:proofErr w:type="spellEnd"/>
      <w:r w:rsidR="00E4492F" w:rsidRPr="0014281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D5F3B" w:rsidRPr="0014281F">
        <w:t>Турумбетовский</w:t>
      </w:r>
      <w:r w:rsidRPr="00E77C4B">
        <w:rPr>
          <w:bCs/>
        </w:rPr>
        <w:t xml:space="preserve"> сельсовет муниципального района </w:t>
      </w:r>
      <w:proofErr w:type="spellStart"/>
      <w:r w:rsidR="00E4492F" w:rsidRPr="0014281F">
        <w:t>Аургазинский</w:t>
      </w:r>
      <w:proofErr w:type="spellEnd"/>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r w:rsidR="005D5F3B" w:rsidRPr="0014281F">
        <w:t>Турумбетовский</w:t>
      </w:r>
      <w:r w:rsidRPr="00E77C4B">
        <w:rPr>
          <w:bCs/>
        </w:rPr>
        <w:t xml:space="preserve">  сельсовет муниципального района </w:t>
      </w:r>
      <w:proofErr w:type="spellStart"/>
      <w:r w:rsidR="00E4492F" w:rsidRPr="0014281F">
        <w:t>Аургазинский</w:t>
      </w:r>
      <w:proofErr w:type="spellEnd"/>
      <w:r w:rsidRPr="0014281F">
        <w:rPr>
          <w:bCs/>
        </w:rPr>
        <w:t xml:space="preserve"> </w:t>
      </w:r>
      <w:r w:rsidRPr="00E77C4B">
        <w:rPr>
          <w:bCs/>
        </w:rPr>
        <w:t xml:space="preserve">район Республики Башкортостан «О бюджетном процессе в сельском поселении </w:t>
      </w:r>
      <w:r w:rsidR="005D5F3B" w:rsidRPr="0014281F">
        <w:t>Турумбетовский</w:t>
      </w:r>
      <w:r w:rsidRPr="00E77C4B">
        <w:rPr>
          <w:bCs/>
        </w:rPr>
        <w:t xml:space="preserve"> сельсовет муниципального района </w:t>
      </w:r>
      <w:proofErr w:type="spellStart"/>
      <w:r w:rsidR="00E4492F" w:rsidRPr="0014281F">
        <w:t>Аургазинский</w:t>
      </w:r>
      <w:proofErr w:type="spellEnd"/>
      <w:r w:rsidRPr="0014281F">
        <w:rPr>
          <w:bCs/>
        </w:rPr>
        <w:t xml:space="preserve"> район РБ</w:t>
      </w:r>
      <w:r w:rsidRPr="0014281F">
        <w:t xml:space="preserve">»  и устанавливает порядок кассового обслуживания исполнения бюджета </w:t>
      </w:r>
      <w:r w:rsidRPr="0014281F">
        <w:rPr>
          <w:bCs/>
        </w:rPr>
        <w:t xml:space="preserve">сельского поселения </w:t>
      </w:r>
      <w:r w:rsidR="005D5F3B" w:rsidRPr="0014281F">
        <w:t>Турумбетовский</w:t>
      </w:r>
      <w:r w:rsidRPr="0014281F">
        <w:rPr>
          <w:bCs/>
        </w:rPr>
        <w:t xml:space="preserve"> сельсовет муниципального района </w:t>
      </w:r>
      <w:proofErr w:type="spellStart"/>
      <w:r w:rsidR="00E4492F" w:rsidRPr="0014281F">
        <w:t>Аургазинский</w:t>
      </w:r>
      <w:proofErr w:type="spellEnd"/>
      <w:r w:rsidRPr="0014281F">
        <w:rPr>
          <w:bCs/>
        </w:rPr>
        <w:t xml:space="preserve"> район Республики Башкортостан А</w:t>
      </w:r>
      <w:r w:rsidRPr="0014281F">
        <w:t xml:space="preserve">дминистрацией </w:t>
      </w:r>
      <w:r w:rsidRPr="0014281F">
        <w:rPr>
          <w:bCs/>
        </w:rPr>
        <w:t xml:space="preserve">сельского поселения </w:t>
      </w:r>
      <w:r w:rsidR="005D5F3B" w:rsidRPr="0014281F">
        <w:t>Турумбетовский</w:t>
      </w:r>
      <w:r w:rsidRPr="0014281F">
        <w:rPr>
          <w:bCs/>
        </w:rPr>
        <w:t xml:space="preserve">  сельсовет муниципального района</w:t>
      </w:r>
      <w:r w:rsidRPr="0014281F">
        <w:t xml:space="preserve"> </w:t>
      </w:r>
      <w:proofErr w:type="spellStart"/>
      <w:r w:rsidR="00E4492F" w:rsidRPr="0014281F">
        <w:t>Аургазинский</w:t>
      </w:r>
      <w:proofErr w:type="spellEnd"/>
      <w:r w:rsidRPr="0014281F">
        <w:t xml:space="preserve"> района Республики Башкортостан  (далее – Администрация сельского поселения) в</w:t>
      </w:r>
      <w:proofErr w:type="gramEnd"/>
      <w:r w:rsidRPr="0014281F">
        <w:t xml:space="preserve"> </w:t>
      </w:r>
      <w:proofErr w:type="gramStart"/>
      <w:r w:rsidRPr="0014281F">
        <w:t>условиях</w:t>
      </w:r>
      <w:proofErr w:type="gramEnd"/>
      <w:r w:rsidRPr="0014281F">
        <w:t xml:space="preserve"> открытия и ведения лицевых счетов для учета операций, осуществляемых</w:t>
      </w:r>
      <w:r w:rsidRPr="00E77C4B">
        <w:t xml:space="preserve">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w:t>
      </w:r>
      <w:r w:rsidRPr="0014281F">
        <w:t xml:space="preserve">Кассовое обслуживание исполнения бюджета </w:t>
      </w:r>
      <w:r w:rsidRPr="0014281F">
        <w:rPr>
          <w:bCs/>
        </w:rPr>
        <w:t xml:space="preserve">сельского поселения </w:t>
      </w:r>
      <w:r w:rsidR="005D5F3B" w:rsidRPr="0014281F">
        <w:t>Турумбетовский</w:t>
      </w:r>
      <w:r w:rsidRPr="00E77C4B">
        <w:rPr>
          <w:bCs/>
        </w:rPr>
        <w:t xml:space="preserve"> 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b w:val="0"/>
          <w:bCs w:val="0"/>
          <w:i w:val="0"/>
          <w:sz w:val="24"/>
          <w:szCs w:val="24"/>
        </w:rPr>
      </w:pPr>
      <w:bookmarkStart w:id="2" w:name="_Toc205115796"/>
      <w:r w:rsidRPr="00E77C4B">
        <w:rPr>
          <w:rFonts w:ascii="Times New Roman" w:hAnsi="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b w:val="0"/>
          <w:bCs w:val="0"/>
          <w:i w:val="0"/>
          <w:sz w:val="24"/>
          <w:szCs w:val="24"/>
        </w:rPr>
      </w:pPr>
      <w:bookmarkStart w:id="3" w:name="_Toc205115797"/>
      <w:r w:rsidRPr="00E77C4B">
        <w:rPr>
          <w:rFonts w:ascii="Times New Roman" w:hAnsi="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lastRenderedPageBreak/>
        <w:t>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5" w:name="_Toc205115799"/>
      <w:r w:rsidRPr="00E77C4B">
        <w:rPr>
          <w:rFonts w:ascii="Times New Roman" w:hAnsi="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b w:val="0"/>
          <w:bCs w:val="0"/>
          <w:i w:val="0"/>
          <w:iCs w:val="0"/>
          <w:kern w:val="28"/>
          <w:position w:val="8"/>
          <w:sz w:val="24"/>
          <w:szCs w:val="24"/>
        </w:rPr>
        <w:t>внебанковским</w:t>
      </w:r>
      <w:proofErr w:type="spellEnd"/>
      <w:r w:rsidRPr="00E77C4B">
        <w:rPr>
          <w:rFonts w:ascii="Times New Roman" w:hAnsi="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w:t>
      </w:r>
      <w:r w:rsidRPr="00E77C4B">
        <w:lastRenderedPageBreak/>
        <w:t xml:space="preserve">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6" w:name="_Toc205115800"/>
      <w:r w:rsidRPr="00E77C4B">
        <w:rPr>
          <w:rFonts w:ascii="Times New Roman" w:hAnsi="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2.5. Отражение операций по кассовым выплатам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lastRenderedPageBreak/>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lastRenderedPageBreak/>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xml:space="preserve">,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w:t>
      </w:r>
      <w:r w:rsidRPr="00E77C4B">
        <w:lastRenderedPageBreak/>
        <w:t>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bookmarkStart w:id="7" w:name="_Toc205115809"/>
      <w:r w:rsidRPr="00E77C4B">
        <w:rPr>
          <w:rFonts w:ascii="Times New Roman" w:hAnsi="Times New Roman"/>
          <w:b w:val="0"/>
          <w:bCs w:val="0"/>
          <w:i w:val="0"/>
          <w:iCs w:val="0"/>
          <w:kern w:val="28"/>
          <w:position w:val="8"/>
          <w:sz w:val="24"/>
          <w:szCs w:val="24"/>
          <w:lang w:val="en-US"/>
        </w:rPr>
        <w:t>III</w:t>
      </w:r>
      <w:r w:rsidRPr="00E77C4B">
        <w:rPr>
          <w:rFonts w:ascii="Times New Roman" w:hAnsi="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lang w:val="en-US"/>
        </w:rPr>
        <w:t>IV</w:t>
      </w:r>
      <w:r w:rsidRPr="00E77C4B">
        <w:rPr>
          <w:rFonts w:ascii="Times New Roman" w:hAnsi="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w:t>
      </w:r>
      <w:r w:rsidRPr="00E77C4B">
        <w:lastRenderedPageBreak/>
        <w:t xml:space="preserve">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b w:val="0"/>
          <w:bCs w:val="0"/>
          <w:i w:val="0"/>
          <w:iCs w:val="0"/>
          <w:kern w:val="28"/>
          <w:position w:val="8"/>
          <w:sz w:val="24"/>
          <w:szCs w:val="24"/>
        </w:rPr>
      </w:pPr>
      <w:bookmarkStart w:id="9" w:name="_Toc205115811"/>
      <w:r w:rsidRPr="00E77C4B">
        <w:rPr>
          <w:rFonts w:ascii="Times New Roman" w:hAnsi="Times New Roman"/>
          <w:b w:val="0"/>
          <w:bCs w:val="0"/>
          <w:i w:val="0"/>
          <w:iCs w:val="0"/>
          <w:kern w:val="28"/>
          <w:position w:val="8"/>
          <w:sz w:val="24"/>
          <w:szCs w:val="24"/>
          <w:lang w:val="en-US"/>
        </w:rPr>
        <w:t>V</w:t>
      </w:r>
      <w:r w:rsidRPr="00E77C4B">
        <w:rPr>
          <w:rFonts w:ascii="Times New Roman" w:hAnsi="Times New Roman"/>
          <w:b w:val="0"/>
          <w:bCs w:val="0"/>
          <w:i w:val="0"/>
          <w:iCs w:val="0"/>
          <w:kern w:val="28"/>
          <w:position w:val="8"/>
          <w:sz w:val="24"/>
          <w:szCs w:val="24"/>
        </w:rPr>
        <w:t xml:space="preserve">. Указания по заполнению форм документов,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 xml:space="preserve">по строке «Наименование клиента» - наименование получателя бюджетных средств </w:t>
      </w:r>
      <w:r w:rsidRPr="00E77C4B">
        <w:lastRenderedPageBreak/>
        <w:t>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5D5F3B">
        <w:rPr>
          <w:sz w:val="28"/>
          <w:szCs w:val="28"/>
        </w:rPr>
        <w:t>Турумбетовский</w:t>
      </w:r>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 xml:space="preserve">для источников финансирования дефицита бюджета коды указываются по </w:t>
      </w:r>
      <w:r w:rsidRPr="00E77C4B">
        <w:lastRenderedPageBreak/>
        <w:t>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«Получатель бюджетных средств, администратор доходов бюджета, </w:t>
      </w:r>
      <w:r w:rsidRPr="00E77C4B">
        <w:rPr>
          <w:rFonts w:ascii="Times New Roman" w:hAnsi="Times New Roman" w:cs="Times New Roman"/>
          <w:sz w:val="24"/>
          <w:szCs w:val="24"/>
        </w:rPr>
        <w:lastRenderedPageBreak/>
        <w:t>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5D5F3B">
        <w:rPr>
          <w:bCs/>
        </w:rPr>
        <w:t>Турумбетовский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w:t>
      </w:r>
      <w:r w:rsidRPr="00E77C4B">
        <w:rPr>
          <w:rFonts w:ascii="Times New Roman" w:hAnsi="Times New Roman" w:cs="Times New Roman"/>
          <w:sz w:val="24"/>
          <w:szCs w:val="24"/>
        </w:rPr>
        <w:lastRenderedPageBreak/>
        <w:t>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5D5F3B">
        <w:rPr>
          <w:bCs/>
        </w:rPr>
        <w:t>Турумбетовский</w:t>
      </w:r>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w:t>
      </w:r>
      <w:r w:rsidRPr="00E77C4B">
        <w:rPr>
          <w:rFonts w:ascii="Times New Roman" w:hAnsi="Times New Roman" w:cs="Times New Roman"/>
          <w:sz w:val="24"/>
          <w:szCs w:val="24"/>
        </w:rPr>
        <w:lastRenderedPageBreak/>
        <w:t>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5D5F3B">
        <w:rPr>
          <w:sz w:val="28"/>
          <w:szCs w:val="28"/>
        </w:rPr>
        <w:t>Турумбетовский</w:t>
      </w:r>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0"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lastRenderedPageBreak/>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w:t>
      </w:r>
      <w:r w:rsidR="0014281F">
        <w:t>Ф.Н. Рахматуллина</w:t>
      </w:r>
      <w:r>
        <w:t xml:space="preserve">                                             </w:t>
      </w:r>
    </w:p>
    <w:p w:rsidR="00454605" w:rsidRDefault="00454605" w:rsidP="00592EF1">
      <w:pPr>
        <w:jc w:val="both"/>
        <w:rPr>
          <w:sz w:val="28"/>
          <w:szCs w:val="28"/>
        </w:rPr>
        <w:sectPr w:rsidR="00454605" w:rsidSect="002777D4">
          <w:pgSz w:w="11906" w:h="16838"/>
          <w:pgMar w:top="709" w:right="850" w:bottom="851" w:left="1701" w:header="708" w:footer="708" w:gutter="0"/>
          <w:cols w:space="708"/>
          <w:docGrid w:linePitch="360"/>
        </w:sectPr>
      </w:pPr>
    </w:p>
    <w:p w:rsidR="00454605" w:rsidRPr="00284A55" w:rsidRDefault="00454605" w:rsidP="00592EF1">
      <w:pPr>
        <w:jc w:val="both"/>
        <w:rPr>
          <w:sz w:val="20"/>
          <w:szCs w:val="20"/>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СП Т</w:t>
      </w:r>
      <w:r w:rsidR="0014281F">
        <w:rPr>
          <w:sz w:val="16"/>
          <w:szCs w:val="16"/>
        </w:rPr>
        <w:t>урумбетовский</w:t>
      </w:r>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14281F">
        <w:rPr>
          <w:sz w:val="16"/>
          <w:szCs w:val="16"/>
        </w:rPr>
        <w:t>Аургазинск</w:t>
      </w:r>
      <w:r>
        <w:rPr>
          <w:sz w:val="16"/>
          <w:szCs w:val="16"/>
        </w:rPr>
        <w:t>ий</w:t>
      </w:r>
      <w:proofErr w:type="spellEnd"/>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Pr="00193533" w:rsidRDefault="00454605" w:rsidP="00284A55">
      <w:pPr>
        <w:autoSpaceDE w:val="0"/>
        <w:autoSpaceDN w:val="0"/>
        <w:adjustRightInd w:val="0"/>
        <w:ind w:right="645"/>
        <w:jc w:val="right"/>
        <w:rPr>
          <w:sz w:val="14"/>
          <w:szCs w:val="14"/>
        </w:rPr>
      </w:pPr>
      <w:r w:rsidRPr="00193533">
        <w:rPr>
          <w:sz w:val="14"/>
          <w:szCs w:val="14"/>
        </w:rPr>
        <w:t>Номер страницы</w:t>
      </w:r>
    </w:p>
    <w:p w:rsidR="00454605" w:rsidRDefault="00454605" w:rsidP="00284A55">
      <w:pPr>
        <w:autoSpaceDE w:val="0"/>
        <w:autoSpaceDN w:val="0"/>
        <w:adjustRightInd w:val="0"/>
        <w:ind w:right="645" w:firstLine="9840"/>
        <w:jc w:val="right"/>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454605" w:rsidRPr="002C6253" w:rsidTr="00284A55">
        <w:trPr>
          <w:trHeight w:val="340"/>
          <w:jc w:val="center"/>
        </w:trPr>
        <w:tc>
          <w:tcPr>
            <w:tcW w:w="12671"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2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284A55">
        <w:trPr>
          <w:trHeight w:val="454"/>
          <w:jc w:val="center"/>
        </w:trPr>
        <w:tc>
          <w:tcPr>
            <w:tcW w:w="1298"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6"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7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2"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2"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5"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8"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2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trHeight w:val="907"/>
          <w:jc w:val="center"/>
        </w:trPr>
        <w:tc>
          <w:tcPr>
            <w:tcW w:w="1298"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2"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5"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2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jc w:val="center"/>
        </w:trPr>
        <w:tc>
          <w:tcPr>
            <w:tcW w:w="1298"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7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5"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2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284A55">
        <w:trPr>
          <w:jc w:val="center"/>
        </w:trPr>
        <w:tc>
          <w:tcPr>
            <w:tcW w:w="1298"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6"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2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284A55">
        <w:trPr>
          <w:jc w:val="center"/>
        </w:trPr>
        <w:tc>
          <w:tcPr>
            <w:tcW w:w="1298"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6"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7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2"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7"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2"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6"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2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r w:rsidR="0014281F">
        <w:rPr>
          <w:sz w:val="16"/>
          <w:szCs w:val="16"/>
        </w:rPr>
        <w:t>Турумбетовский</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14281F">
        <w:rPr>
          <w:sz w:val="16"/>
          <w:szCs w:val="16"/>
        </w:rPr>
        <w:t>Аургазин</w:t>
      </w:r>
      <w:r>
        <w:rPr>
          <w:sz w:val="16"/>
          <w:szCs w:val="16"/>
        </w:rPr>
        <w:t>ский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5F7A52" w:rsidP="00D902D8">
      <w:pPr>
        <w:rPr>
          <w:sz w:val="18"/>
          <w:szCs w:val="18"/>
        </w:rPr>
      </w:pPr>
      <w:r w:rsidRPr="005F7A52">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14281F">
        <w:t>Турумбетовский</w:t>
      </w:r>
      <w:r>
        <w:t xml:space="preserve"> сельсовет </w:t>
      </w:r>
    </w:p>
    <w:p w:rsidR="00454605" w:rsidRDefault="00454605" w:rsidP="00D902D8">
      <w:pPr>
        <w:pStyle w:val="ConsPlusNormal"/>
        <w:jc w:val="right"/>
      </w:pPr>
      <w:r>
        <w:t xml:space="preserve">МР </w:t>
      </w:r>
      <w:proofErr w:type="spellStart"/>
      <w:r w:rsidR="0014281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284A55">
          <w:pgSz w:w="16838" w:h="11906" w:orient="landscape"/>
          <w:pgMar w:top="426"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14281F">
      <w:pPr>
        <w:pStyle w:val="ConsPlusNormal"/>
        <w:jc w:val="right"/>
      </w:pPr>
      <w:r>
        <w:t xml:space="preserve">бюджета СП </w:t>
      </w:r>
      <w:r w:rsidR="0014281F">
        <w:t>Турумбетовский</w:t>
      </w:r>
      <w:r>
        <w:t xml:space="preserve"> сельсовет</w:t>
      </w:r>
    </w:p>
    <w:p w:rsidR="00454605" w:rsidRDefault="00454605" w:rsidP="00D902D8">
      <w:pPr>
        <w:pStyle w:val="ConsPlusNormal"/>
      </w:pPr>
      <w:r>
        <w:t xml:space="preserve">                                                                                                                       МР </w:t>
      </w:r>
      <w:proofErr w:type="spellStart"/>
      <w:r w:rsidR="0014281F">
        <w:t>Аургазинский</w:t>
      </w:r>
      <w:proofErr w:type="spellEnd"/>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1"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r w:rsidR="0014281F">
        <w:t>Турумбетовский</w:t>
      </w:r>
      <w:r>
        <w:t xml:space="preserve"> сельсовет</w:t>
      </w:r>
    </w:p>
    <w:p w:rsidR="00454605" w:rsidRDefault="00454605" w:rsidP="00D902D8">
      <w:pPr>
        <w:pStyle w:val="ConsPlusNormal"/>
        <w:jc w:val="right"/>
      </w:pPr>
      <w:r>
        <w:t xml:space="preserve">МР </w:t>
      </w:r>
      <w:proofErr w:type="spellStart"/>
      <w:r w:rsidR="0014281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F7A52" w:rsidP="00D902D8">
            <w:pPr>
              <w:pStyle w:val="ConsPlusNormal"/>
              <w:jc w:val="center"/>
              <w:rPr>
                <w:sz w:val="20"/>
              </w:rPr>
            </w:pPr>
            <w:hyperlink r:id="rId13"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F7A52"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5F7A52" w:rsidP="00D902D8">
      <w:pPr>
        <w:pStyle w:val="ConsPlusNormal"/>
      </w:pPr>
      <w:hyperlink r:id="rId15"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14281F">
        <w:t>Турумбетовский</w:t>
      </w:r>
      <w:r>
        <w:t xml:space="preserve"> сельсовет</w:t>
      </w:r>
    </w:p>
    <w:p w:rsidR="00454605" w:rsidRDefault="00454605" w:rsidP="0007190B">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14281F">
        <w:t>Турумбетовский</w:t>
      </w:r>
      <w:r>
        <w:t xml:space="preserve"> сельсовет</w:t>
      </w:r>
    </w:p>
    <w:p w:rsidR="00454605" w:rsidRDefault="00454605" w:rsidP="0007190B">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6"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14281F">
        <w:t>Турумбетовский</w:t>
      </w:r>
      <w:r>
        <w:t xml:space="preserve"> сельсовет</w:t>
      </w:r>
    </w:p>
    <w:p w:rsidR="00454605" w:rsidRDefault="00454605" w:rsidP="0007190B">
      <w:pPr>
        <w:pStyle w:val="ConsPlusNormal"/>
        <w:jc w:val="center"/>
      </w:pPr>
      <w:r>
        <w:t xml:space="preserve">                                                                                                                                                                                                      МР </w:t>
      </w:r>
      <w:proofErr w:type="spellStart"/>
      <w:r w:rsidR="0014281F">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lastRenderedPageBreak/>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14281F">
        <w:t>Турумбетовский</w:t>
      </w:r>
      <w:r>
        <w:t xml:space="preserve"> сельсовет</w:t>
      </w:r>
    </w:p>
    <w:p w:rsidR="00454605" w:rsidRDefault="00454605" w:rsidP="00926536">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14281F">
        <w:t>Турумбетовский</w:t>
      </w:r>
      <w:r>
        <w:t xml:space="preserve"> сельсовет</w:t>
      </w:r>
    </w:p>
    <w:p w:rsidR="00454605" w:rsidRDefault="00454605" w:rsidP="00926536">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14281F">
        <w:t>Турумбетовский</w:t>
      </w:r>
      <w:r>
        <w:t xml:space="preserve"> сельсовет</w:t>
      </w:r>
    </w:p>
    <w:p w:rsidR="00454605" w:rsidRDefault="00454605" w:rsidP="0007190B">
      <w:pPr>
        <w:pStyle w:val="ConsPlusNormal"/>
        <w:jc w:val="center"/>
      </w:pPr>
      <w:r>
        <w:t xml:space="preserve">                                                               МР </w:t>
      </w:r>
      <w:proofErr w:type="spellStart"/>
      <w:r w:rsidR="0014281F">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14281F">
        <w:t>Турумбетовский</w:t>
      </w:r>
      <w:r>
        <w:t xml:space="preserve"> сельсовет</w:t>
      </w:r>
    </w:p>
    <w:p w:rsidR="00454605" w:rsidRDefault="00454605" w:rsidP="00806889">
      <w:pPr>
        <w:pStyle w:val="ConsPlusNormal"/>
        <w:jc w:val="right"/>
      </w:pPr>
      <w:r>
        <w:t xml:space="preserve">МР </w:t>
      </w:r>
      <w:proofErr w:type="spellStart"/>
      <w:r w:rsidR="0014281F">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5F7A52"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2"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r w:rsidR="0014281F">
        <w:t>Турумбетовский</w:t>
      </w:r>
      <w:r>
        <w:t xml:space="preserve"> сельсовет</w:t>
      </w:r>
    </w:p>
    <w:p w:rsidR="00454605" w:rsidRDefault="00454605" w:rsidP="00806889">
      <w:pPr>
        <w:pStyle w:val="ConsPlusNormal"/>
        <w:jc w:val="right"/>
      </w:pPr>
      <w:r>
        <w:t xml:space="preserve">бюджета МР </w:t>
      </w:r>
      <w:proofErr w:type="spellStart"/>
      <w:r w:rsidR="0014281F">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E2375A1"/>
    <w:multiLevelType w:val="hybridMultilevel"/>
    <w:tmpl w:val="86863FF8"/>
    <w:lvl w:ilvl="0" w:tplc="5726E38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420E7"/>
    <w:rsid w:val="0014281F"/>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777D4"/>
    <w:rsid w:val="00284A55"/>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A2D57"/>
    <w:rsid w:val="004E292B"/>
    <w:rsid w:val="004E4253"/>
    <w:rsid w:val="00500444"/>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D5F3B"/>
    <w:rsid w:val="005E00C8"/>
    <w:rsid w:val="005E0CEE"/>
    <w:rsid w:val="005F0ED4"/>
    <w:rsid w:val="005F7A52"/>
    <w:rsid w:val="006126E9"/>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20B15"/>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0666E"/>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
    <w:qFormat/>
    <w:locked/>
    <w:rsid w:val="00592EF1"/>
    <w:pPr>
      <w:keepNext/>
      <w:spacing w:before="240" w:after="60"/>
      <w:outlineLvl w:val="1"/>
    </w:pPr>
    <w:rPr>
      <w:rFonts w:ascii="Cambria" w:hAnsi="Cambria"/>
      <w:b/>
      <w:bCs/>
      <w:i/>
      <w:iCs/>
      <w:sz w:val="28"/>
      <w:szCs w:val="28"/>
      <w:lang/>
    </w:rPr>
  </w:style>
  <w:style w:type="paragraph" w:styleId="5">
    <w:name w:val="heading 5"/>
    <w:basedOn w:val="a"/>
    <w:next w:val="a"/>
    <w:link w:val="50"/>
    <w:uiPriority w:val="99"/>
    <w:qFormat/>
    <w:locked/>
    <w:rsid w:val="002F6090"/>
    <w:pPr>
      <w:keepNext/>
      <w:jc w:val="center"/>
      <w:outlineLvl w:val="4"/>
    </w:pPr>
    <w:rPr>
      <w:rFonts w:ascii="Calibri" w:eastAsia="Calibri" w:hAnsi="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rFonts w:ascii="Calibri" w:hAnsi="Calibri"/>
      <w:b/>
      <w:szCs w:val="20"/>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D5F3B"/>
    <w:pPr>
      <w:tabs>
        <w:tab w:val="center" w:pos="4677"/>
        <w:tab w:val="right" w:pos="9355"/>
      </w:tabs>
    </w:pPr>
    <w:rPr>
      <w:lang/>
    </w:rPr>
  </w:style>
  <w:style w:type="character" w:customStyle="1" w:styleId="a8">
    <w:name w:val="Верхний колонтитул Знак"/>
    <w:link w:val="a7"/>
    <w:rsid w:val="005D5F3B"/>
    <w:rPr>
      <w:rFonts w:ascii="Times New Roman" w:eastAsia="Times New Roman" w:hAnsi="Times New Roman"/>
      <w:sz w:val="24"/>
      <w:szCs w:val="24"/>
    </w:rPr>
  </w:style>
  <w:style w:type="character" w:customStyle="1" w:styleId="1">
    <w:name w:val="Основной шрифт абзаца1"/>
    <w:rsid w:val="005D5F3B"/>
  </w:style>
  <w:style w:type="paragraph" w:styleId="a9">
    <w:name w:val="Balloon Text"/>
    <w:basedOn w:val="a"/>
    <w:link w:val="aa"/>
    <w:uiPriority w:val="99"/>
    <w:semiHidden/>
    <w:unhideWhenUsed/>
    <w:rsid w:val="0014281F"/>
    <w:rPr>
      <w:rFonts w:ascii="Tahoma" w:hAnsi="Tahoma"/>
      <w:sz w:val="16"/>
      <w:szCs w:val="16"/>
      <w:lang/>
    </w:rPr>
  </w:style>
  <w:style w:type="character" w:customStyle="1" w:styleId="aa">
    <w:name w:val="Текст выноски Знак"/>
    <w:link w:val="a9"/>
    <w:uiPriority w:val="99"/>
    <w:semiHidden/>
    <w:rsid w:val="001428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950247">
      <w:bodyDiv w:val="1"/>
      <w:marLeft w:val="0"/>
      <w:marRight w:val="0"/>
      <w:marTop w:val="0"/>
      <w:marBottom w:val="0"/>
      <w:divBdr>
        <w:top w:val="none" w:sz="0" w:space="0" w:color="auto"/>
        <w:left w:val="none" w:sz="0" w:space="0" w:color="auto"/>
        <w:bottom w:val="none" w:sz="0" w:space="0" w:color="auto"/>
        <w:right w:val="none" w:sz="0" w:space="0" w:color="auto"/>
      </w:divBdr>
    </w:div>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15935</Words>
  <Characters>90830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ПК</cp:lastModifiedBy>
  <cp:revision>2</cp:revision>
  <cp:lastPrinted>2019-12-23T06:29:00Z</cp:lastPrinted>
  <dcterms:created xsi:type="dcterms:W3CDTF">2021-09-03T07:31:00Z</dcterms:created>
  <dcterms:modified xsi:type="dcterms:W3CDTF">2021-09-03T07:31:00Z</dcterms:modified>
</cp:coreProperties>
</file>